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5" w:rsidRPr="0094103C" w:rsidRDefault="00933D65" w:rsidP="00933D65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94103C">
        <w:rPr>
          <w:color w:val="000000"/>
        </w:rPr>
        <w:t>There are two equations that FM proposes and claims proof</w:t>
      </w:r>
      <w:r>
        <w:rPr>
          <w:color w:val="000000"/>
        </w:rPr>
        <w:t>s</w:t>
      </w:r>
      <w:r w:rsidRPr="0094103C">
        <w:rPr>
          <w:color w:val="000000"/>
        </w:rPr>
        <w:t xml:space="preserve"> by theoretical and empirical means. Both are incorrect from both points of view. The equation equating the absorption of terrestrial radiation to the downward radiation </w:t>
      </w:r>
      <w:r w:rsidR="00932C48">
        <w:rPr>
          <w:color w:val="000000"/>
        </w:rPr>
        <w:t xml:space="preserve">emitted by </w:t>
      </w:r>
      <w:r w:rsidRPr="0094103C">
        <w:rPr>
          <w:color w:val="000000"/>
        </w:rPr>
        <w:t xml:space="preserve">the atmosphere has </w:t>
      </w:r>
      <w:r w:rsidR="00932C48">
        <w:rPr>
          <w:color w:val="000000"/>
        </w:rPr>
        <w:t>no</w:t>
      </w:r>
      <w:r>
        <w:rPr>
          <w:color w:val="000000"/>
        </w:rPr>
        <w:t xml:space="preserve"> </w:t>
      </w:r>
      <w:r w:rsidRPr="0094103C">
        <w:rPr>
          <w:color w:val="000000"/>
        </w:rPr>
        <w:t xml:space="preserve">basis in theory and is demonstrably untrue observationally. The equation relating OLR to one half of the terrestrial emission </w:t>
      </w:r>
      <w:r w:rsidR="00932C48">
        <w:rPr>
          <w:color w:val="000000"/>
        </w:rPr>
        <w:t xml:space="preserve">flux density </w:t>
      </w:r>
      <w:r w:rsidRPr="0094103C">
        <w:rPr>
          <w:color w:val="000000"/>
        </w:rPr>
        <w:t>has no theoretical basis and is again demonstrably untrue observationally.</w:t>
      </w:r>
      <w:r w:rsidR="0036694C">
        <w:rPr>
          <w:color w:val="000000"/>
        </w:rPr>
        <w:t xml:space="preserve"> Both equations are proposed by FM to fit in with his eventual conclusions.</w:t>
      </w:r>
    </w:p>
    <w:p w:rsidR="00BE010D" w:rsidRDefault="00933D65" w:rsidP="00BE010D">
      <w:pPr>
        <w:pStyle w:val="NormalWeb"/>
        <w:numPr>
          <w:ilvl w:val="0"/>
          <w:numId w:val="1"/>
        </w:numPr>
        <w:shd w:val="clear" w:color="auto" w:fill="FFFFFF"/>
        <w:rPr>
          <w:color w:val="000000"/>
        </w:rPr>
      </w:pPr>
      <w:r w:rsidRPr="0094103C">
        <w:rPr>
          <w:color w:val="000000"/>
        </w:rPr>
        <w:t xml:space="preserve">There is confusion about </w:t>
      </w:r>
      <w:r>
        <w:rPr>
          <w:color w:val="000000"/>
        </w:rPr>
        <w:t xml:space="preserve">the use of the term </w:t>
      </w:r>
      <w:r w:rsidRPr="0094103C">
        <w:rPr>
          <w:color w:val="000000"/>
        </w:rPr>
        <w:t>optical depth. The proper definition of optical depth is τ = –</w:t>
      </w:r>
      <w:proofErr w:type="spellStart"/>
      <w:r w:rsidRPr="0094103C">
        <w:rPr>
          <w:color w:val="000000"/>
        </w:rPr>
        <w:t>ln</w:t>
      </w:r>
      <w:proofErr w:type="spellEnd"/>
      <w:r w:rsidRPr="0094103C">
        <w:rPr>
          <w:color w:val="000000"/>
        </w:rPr>
        <w:t xml:space="preserve"> T where T is the transmission for a spectra</w:t>
      </w:r>
      <w:r>
        <w:rPr>
          <w:color w:val="000000"/>
        </w:rPr>
        <w:t xml:space="preserve">l line of a </w:t>
      </w:r>
      <w:r w:rsidRPr="00932C48">
        <w:rPr>
          <w:i/>
          <w:color w:val="000000"/>
        </w:rPr>
        <w:t>specified frequency</w:t>
      </w:r>
      <w:r>
        <w:rPr>
          <w:color w:val="000000"/>
        </w:rPr>
        <w:t xml:space="preserve"> through a medium. </w:t>
      </w:r>
      <w:r w:rsidRPr="0094103C">
        <w:rPr>
          <w:color w:val="000000"/>
        </w:rPr>
        <w:t xml:space="preserve"> It refers to the Beer’s Law relationship and can be estimated for each and every line in the terrestrial spectrum</w:t>
      </w:r>
      <w:r w:rsidR="0036694C">
        <w:rPr>
          <w:color w:val="000000"/>
        </w:rPr>
        <w:t>, but it is not a simple matter for something as large as the atmosphere</w:t>
      </w:r>
      <w:r w:rsidRPr="0094103C">
        <w:rPr>
          <w:color w:val="000000"/>
        </w:rPr>
        <w:t xml:space="preserve">. </w:t>
      </w:r>
      <w:r w:rsidR="00932C48">
        <w:rPr>
          <w:color w:val="000000"/>
        </w:rPr>
        <w:t xml:space="preserve">The mean value of such a quantity over the terrestrial spectrum or any other spectrum can only be used as a non-quantitative indication of the general absorption property of the sample substance, the atmosphere in FM’s case. </w:t>
      </w:r>
    </w:p>
    <w:p w:rsidR="00BE010D" w:rsidRDefault="00BE010D" w:rsidP="00BE010D">
      <w:pPr>
        <w:pStyle w:val="NormalWeb"/>
        <w:shd w:val="clear" w:color="auto" w:fill="FFFFFF"/>
        <w:ind w:firstLine="360"/>
        <w:rPr>
          <w:color w:val="000000"/>
        </w:rPr>
      </w:pPr>
      <w:r>
        <w:rPr>
          <w:color w:val="000000"/>
        </w:rPr>
        <w:t xml:space="preserve">When applied to the atmosphere, with its ever decreasing pressure as altitude increases and the peculiar temperature variation, the optical depth, </w:t>
      </w:r>
      <w:r>
        <w:rPr>
          <w:i/>
          <w:color w:val="000000"/>
        </w:rPr>
        <w:t>u</w:t>
      </w:r>
      <w:r>
        <w:rPr>
          <w:color w:val="000000"/>
        </w:rPr>
        <w:t xml:space="preserve">, is given by the integral of product of the absorption coefficient and the density of the absorbing substance with a vertical optical path element: </w:t>
      </w:r>
    </w:p>
    <w:p w:rsidR="00BE010D" w:rsidRDefault="00BE010D" w:rsidP="00BE010D">
      <w:pPr>
        <w:pStyle w:val="NormalWeb"/>
        <w:shd w:val="clear" w:color="auto" w:fill="FFFFFF"/>
        <w:ind w:firstLine="360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u=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∞</m:t>
              </m:r>
            </m:sup>
            <m:e>
              <m:r>
                <w:rPr>
                  <w:rFonts w:ascii="Cambria Math" w:hAnsi="Cambria Math"/>
                  <w:color w:val="000000"/>
                </w:rPr>
                <m:t>kρdz</m:t>
              </m:r>
            </m:e>
          </m:nary>
        </m:oMath>
      </m:oMathPara>
    </w:p>
    <w:p w:rsidR="00BE010D" w:rsidRDefault="00BE010D" w:rsidP="00BE010D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tran</w:t>
      </w:r>
      <w:r w:rsidR="006B31E7">
        <w:rPr>
          <w:color w:val="000000"/>
        </w:rPr>
        <w:t>s</w:t>
      </w:r>
      <w:r>
        <w:rPr>
          <w:color w:val="000000"/>
        </w:rPr>
        <w:t>missivity</w:t>
      </w:r>
      <w:proofErr w:type="spellEnd"/>
      <w:r>
        <w:rPr>
          <w:color w:val="000000"/>
        </w:rPr>
        <w:t>, τ, for any frequency is given by:</w:t>
      </w:r>
    </w:p>
    <w:p w:rsidR="00BE010D" w:rsidRDefault="00BE010D" w:rsidP="00BE010D">
      <w:pPr>
        <w:pStyle w:val="NormalWeb"/>
        <w:shd w:val="clear" w:color="auto" w:fill="FFFFFF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τ=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e</m:t>
              </m:r>
            </m:e>
            <m:sup>
              <m:r>
                <w:rPr>
                  <w:rFonts w:ascii="Cambria Math" w:hAnsi="Cambria Math"/>
                  <w:color w:val="000000"/>
                </w:rPr>
                <m:t>-u</m:t>
              </m:r>
            </m:sup>
          </m:sSup>
        </m:oMath>
      </m:oMathPara>
    </w:p>
    <w:p w:rsidR="00BE010D" w:rsidRPr="00BE010D" w:rsidRDefault="00BE010D" w:rsidP="00BE010D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The optical depth for any particular frequency is not easily computed since </w:t>
      </w:r>
      <w:r>
        <w:rPr>
          <w:i/>
          <w:color w:val="000000"/>
        </w:rPr>
        <w:t>k</w:t>
      </w:r>
      <w:r>
        <w:rPr>
          <w:color w:val="000000"/>
        </w:rPr>
        <w:t xml:space="preserve"> varies with pressure and temperature. Such variations are contained within the HITRAN database.</w:t>
      </w:r>
    </w:p>
    <w:p w:rsidR="0036694C" w:rsidRDefault="00932C48" w:rsidP="00932C48">
      <w:pPr>
        <w:pStyle w:val="NormalWeb"/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The above relates just to an optical path normal to the surface and </w:t>
      </w:r>
      <w:r w:rsidR="007D1A6D">
        <w:rPr>
          <w:color w:val="000000"/>
        </w:rPr>
        <w:t xml:space="preserve">can be modified to take into account off-normal paths, but the above definition suffices for the present argument. </w:t>
      </w:r>
      <w:r w:rsidR="00933D65" w:rsidRPr="0094103C">
        <w:rPr>
          <w:color w:val="000000"/>
        </w:rPr>
        <w:t>There are two methods used by FM to calculate τ. One is to regard the overall transmission as S</w:t>
      </w:r>
      <w:r w:rsidR="00933D65" w:rsidRPr="0094103C">
        <w:rPr>
          <w:color w:val="000000"/>
          <w:vertAlign w:val="subscript"/>
        </w:rPr>
        <w:t>T</w:t>
      </w:r>
      <w:r w:rsidR="00933D65" w:rsidRPr="0094103C">
        <w:rPr>
          <w:color w:val="000000"/>
        </w:rPr>
        <w:t xml:space="preserve"> and to compare this with the total surface flux density, S</w:t>
      </w:r>
      <w:r w:rsidR="00933D65" w:rsidRPr="0094103C">
        <w:rPr>
          <w:color w:val="000000"/>
          <w:vertAlign w:val="subscript"/>
        </w:rPr>
        <w:t>U</w:t>
      </w:r>
      <w:r w:rsidR="00933D65" w:rsidRPr="0094103C">
        <w:rPr>
          <w:color w:val="000000"/>
        </w:rPr>
        <w:t xml:space="preserve">. Using the </w:t>
      </w:r>
      <w:proofErr w:type="spellStart"/>
      <w:r w:rsidR="00933D65" w:rsidRPr="0094103C">
        <w:rPr>
          <w:color w:val="000000"/>
        </w:rPr>
        <w:t>K</w:t>
      </w:r>
      <w:r w:rsidR="0036694C">
        <w:rPr>
          <w:color w:val="000000"/>
        </w:rPr>
        <w:t>iehl</w:t>
      </w:r>
      <w:r w:rsidR="00933D65" w:rsidRPr="0094103C">
        <w:rPr>
          <w:color w:val="000000"/>
        </w:rPr>
        <w:t>/T</w:t>
      </w:r>
      <w:r w:rsidR="0036694C">
        <w:rPr>
          <w:color w:val="000000"/>
        </w:rPr>
        <w:t>renberth</w:t>
      </w:r>
      <w:proofErr w:type="spellEnd"/>
      <w:r w:rsidR="00933D65" w:rsidRPr="0094103C">
        <w:rPr>
          <w:color w:val="000000"/>
        </w:rPr>
        <w:t xml:space="preserve"> values this gives τ = </w:t>
      </w:r>
      <w:proofErr w:type="spellStart"/>
      <w:r w:rsidR="00933D65" w:rsidRPr="0094103C">
        <w:rPr>
          <w:color w:val="000000"/>
        </w:rPr>
        <w:t>ln</w:t>
      </w:r>
      <w:proofErr w:type="spellEnd"/>
      <w:r w:rsidR="00933D65" w:rsidRPr="0094103C">
        <w:rPr>
          <w:color w:val="000000"/>
        </w:rPr>
        <w:t xml:space="preserve"> (</w:t>
      </w:r>
      <w:r w:rsidR="00FE4F89">
        <w:rPr>
          <w:color w:val="000000"/>
        </w:rPr>
        <w:t>390</w:t>
      </w:r>
      <w:r w:rsidR="00933D65" w:rsidRPr="0094103C">
        <w:rPr>
          <w:color w:val="000000"/>
        </w:rPr>
        <w:t xml:space="preserve">/40) = </w:t>
      </w:r>
      <w:r w:rsidR="0011686A">
        <w:rPr>
          <w:color w:val="000000"/>
        </w:rPr>
        <w:t>2.28</w:t>
      </w:r>
      <w:r w:rsidR="00933D65" w:rsidRPr="0094103C">
        <w:rPr>
          <w:color w:val="000000"/>
        </w:rPr>
        <w:t>. This compares the flux density of radiation escaping through the ‘window’ from 750-1250 cm</w:t>
      </w:r>
      <w:r w:rsidR="00933D65" w:rsidRPr="0094103C">
        <w:rPr>
          <w:color w:val="000000"/>
          <w:vertAlign w:val="superscript"/>
        </w:rPr>
        <w:t>-1</w:t>
      </w:r>
      <w:r w:rsidR="00933D65" w:rsidRPr="0094103C">
        <w:rPr>
          <w:color w:val="000000"/>
        </w:rPr>
        <w:t xml:space="preserve"> with that emitted by the </w:t>
      </w:r>
      <w:r w:rsidR="00FE4F89">
        <w:rPr>
          <w:color w:val="000000"/>
        </w:rPr>
        <w:t>surface over the 0-1600 cm</w:t>
      </w:r>
      <w:r w:rsidR="00FE4F89">
        <w:rPr>
          <w:color w:val="000000"/>
          <w:vertAlign w:val="superscript"/>
        </w:rPr>
        <w:t>-1</w:t>
      </w:r>
      <w:r w:rsidR="00FE4F89">
        <w:rPr>
          <w:color w:val="000000"/>
        </w:rPr>
        <w:t xml:space="preserve"> </w:t>
      </w:r>
      <w:r w:rsidR="00933D65" w:rsidRPr="0094103C">
        <w:rPr>
          <w:color w:val="000000"/>
        </w:rPr>
        <w:t>r</w:t>
      </w:r>
      <w:r w:rsidR="00FE4F89">
        <w:rPr>
          <w:color w:val="000000"/>
        </w:rPr>
        <w:t>ange</w:t>
      </w:r>
      <w:r w:rsidR="00933D65" w:rsidRPr="0094103C">
        <w:rPr>
          <w:color w:val="000000"/>
        </w:rPr>
        <w:t xml:space="preserve">. </w:t>
      </w:r>
      <w:r w:rsidR="00933D65">
        <w:rPr>
          <w:color w:val="000000"/>
        </w:rPr>
        <w:t>The two flux densities are interdependent in that the more opaque the atmosphere becomes, the smaller the value of S</w:t>
      </w:r>
      <w:r w:rsidR="00933D65">
        <w:rPr>
          <w:color w:val="000000"/>
          <w:vertAlign w:val="subscript"/>
        </w:rPr>
        <w:t>T</w:t>
      </w:r>
      <w:r w:rsidR="00933D65">
        <w:rPr>
          <w:color w:val="000000"/>
        </w:rPr>
        <w:t xml:space="preserve"> will become and vice versa, but to convert the two flux densities into a really meaningful property such as the optical depth is not legitimate.  FM claims that this particular property is a constant, but that is impossible. The addition to the </w:t>
      </w:r>
      <w:r w:rsidR="00933D65">
        <w:rPr>
          <w:color w:val="000000"/>
        </w:rPr>
        <w:lastRenderedPageBreak/>
        <w:t>atmosphere of more CO</w:t>
      </w:r>
      <w:r w:rsidR="00933D65">
        <w:rPr>
          <w:color w:val="000000"/>
          <w:vertAlign w:val="subscript"/>
        </w:rPr>
        <w:t>2</w:t>
      </w:r>
      <w:r w:rsidR="00933D65">
        <w:rPr>
          <w:color w:val="000000"/>
        </w:rPr>
        <w:t xml:space="preserve"> will cause the ‘window’ to become narrower and will reduce the value of S</w:t>
      </w:r>
      <w:r w:rsidR="00933D65">
        <w:rPr>
          <w:color w:val="000000"/>
          <w:vertAlign w:val="subscript"/>
        </w:rPr>
        <w:t>T</w:t>
      </w:r>
      <w:r w:rsidR="00933D65">
        <w:rPr>
          <w:color w:val="000000"/>
        </w:rPr>
        <w:t>. The S</w:t>
      </w:r>
      <w:r w:rsidR="00933D65">
        <w:rPr>
          <w:color w:val="000000"/>
          <w:vertAlign w:val="subscript"/>
        </w:rPr>
        <w:t>U</w:t>
      </w:r>
      <w:r w:rsidR="00933D65">
        <w:rPr>
          <w:color w:val="000000"/>
        </w:rPr>
        <w:t>/S</w:t>
      </w:r>
      <w:r w:rsidR="00933D65">
        <w:rPr>
          <w:color w:val="000000"/>
          <w:vertAlign w:val="subscript"/>
        </w:rPr>
        <w:t>T</w:t>
      </w:r>
      <w:r w:rsidR="00933D65">
        <w:rPr>
          <w:color w:val="000000"/>
        </w:rPr>
        <w:t xml:space="preserve"> ratio would only be constant if the addition of the CO</w:t>
      </w:r>
      <w:r w:rsidR="00933D65">
        <w:rPr>
          <w:color w:val="000000"/>
          <w:vertAlign w:val="subscript"/>
        </w:rPr>
        <w:t>2</w:t>
      </w:r>
      <w:r w:rsidR="00933D65" w:rsidRPr="0094103C">
        <w:rPr>
          <w:color w:val="000000"/>
        </w:rPr>
        <w:t xml:space="preserve"> </w:t>
      </w:r>
      <w:r w:rsidR="00933D65">
        <w:rPr>
          <w:color w:val="000000"/>
        </w:rPr>
        <w:t>reduced the value of S</w:t>
      </w:r>
      <w:r w:rsidR="00933D65">
        <w:rPr>
          <w:color w:val="000000"/>
          <w:vertAlign w:val="subscript"/>
        </w:rPr>
        <w:t>U</w:t>
      </w:r>
      <w:r w:rsidR="0068363F">
        <w:rPr>
          <w:color w:val="000000"/>
          <w:vertAlign w:val="subscript"/>
        </w:rPr>
        <w:t xml:space="preserve"> </w:t>
      </w:r>
      <w:r w:rsidR="0068363F">
        <w:rPr>
          <w:color w:val="000000"/>
        </w:rPr>
        <w:t>by an identical fraction</w:t>
      </w:r>
      <w:r w:rsidR="00933D65">
        <w:rPr>
          <w:color w:val="000000"/>
        </w:rPr>
        <w:t>, but the addition is supposed to cause an increase in surface temperature and that would increase the value of S</w:t>
      </w:r>
      <w:r w:rsidR="00933D65">
        <w:rPr>
          <w:color w:val="000000"/>
          <w:vertAlign w:val="subscript"/>
        </w:rPr>
        <w:t>U</w:t>
      </w:r>
      <w:r w:rsidR="00933D65">
        <w:rPr>
          <w:color w:val="000000"/>
        </w:rPr>
        <w:t xml:space="preserve">. </w:t>
      </w:r>
    </w:p>
    <w:p w:rsidR="00933D65" w:rsidRPr="0094103C" w:rsidRDefault="00933D65" w:rsidP="007D1A6D">
      <w:pPr>
        <w:pStyle w:val="NormalWeb"/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The transmission of any particular frequency through the atmosphere is governed by the </w:t>
      </w:r>
      <w:proofErr w:type="spellStart"/>
      <w:r>
        <w:rPr>
          <w:color w:val="000000"/>
        </w:rPr>
        <w:t>Schwarzchild</w:t>
      </w:r>
      <w:proofErr w:type="spellEnd"/>
      <w:r>
        <w:rPr>
          <w:color w:val="000000"/>
        </w:rPr>
        <w:t xml:space="preserve"> equation that takes into account the Beer’s Law reduction in flux density with altitude </w:t>
      </w:r>
      <w:r w:rsidRPr="0036694C">
        <w:rPr>
          <w:i/>
          <w:color w:val="000000"/>
        </w:rPr>
        <w:t xml:space="preserve">and </w:t>
      </w:r>
      <w:r>
        <w:rPr>
          <w:color w:val="000000"/>
        </w:rPr>
        <w:t xml:space="preserve">the enhancement of flux density with altitude from thermal radiation. Thus, for any particular frequency there is a ratio for the flux density transmitted by the atmosphere and including the thermal emission and the flux density emitted by the surface that may be transformed into an optical depth, </w:t>
      </w:r>
      <w:proofErr w:type="spellStart"/>
      <w:r>
        <w:rPr>
          <w:color w:val="000000"/>
        </w:rPr>
        <w:t>τ</w:t>
      </w:r>
      <w:r>
        <w:rPr>
          <w:color w:val="000000"/>
          <w:vertAlign w:val="subscript"/>
        </w:rPr>
        <w:t>S</w:t>
      </w:r>
      <w:proofErr w:type="spellEnd"/>
      <w:r>
        <w:rPr>
          <w:color w:val="000000"/>
        </w:rPr>
        <w:t xml:space="preserve"> [S for </w:t>
      </w:r>
      <w:proofErr w:type="spellStart"/>
      <w:r>
        <w:rPr>
          <w:color w:val="000000"/>
        </w:rPr>
        <w:t>Schwarzchild</w:t>
      </w:r>
      <w:proofErr w:type="spellEnd"/>
      <w:r>
        <w:rPr>
          <w:color w:val="000000"/>
        </w:rPr>
        <w:t xml:space="preserve">] that may be estimated using the MODTRAN facility.  This shows that the mean value of </w:t>
      </w:r>
      <w:proofErr w:type="spellStart"/>
      <w:r>
        <w:rPr>
          <w:color w:val="000000"/>
        </w:rPr>
        <w:t>τ</w:t>
      </w:r>
      <w:r>
        <w:rPr>
          <w:color w:val="000000"/>
          <w:vertAlign w:val="subscript"/>
        </w:rPr>
        <w:t>S</w:t>
      </w:r>
      <w:proofErr w:type="spellEnd"/>
      <w:r>
        <w:rPr>
          <w:color w:val="000000"/>
        </w:rPr>
        <w:t xml:space="preserve"> is around 0.54, including the ‘window’ region. FM equates this kind of </w:t>
      </w:r>
      <w:proofErr w:type="spellStart"/>
      <w:r>
        <w:rPr>
          <w:color w:val="000000"/>
        </w:rPr>
        <w:t>τ</w:t>
      </w:r>
      <w:r>
        <w:rPr>
          <w:color w:val="000000"/>
          <w:vertAlign w:val="subscript"/>
        </w:rPr>
        <w:t>S</w:t>
      </w:r>
      <w:proofErr w:type="spellEnd"/>
      <w:r>
        <w:rPr>
          <w:color w:val="000000"/>
        </w:rPr>
        <w:t xml:space="preserve"> with that given by </w:t>
      </w:r>
      <w:r w:rsidRPr="0094103C">
        <w:rPr>
          <w:color w:val="000000"/>
        </w:rPr>
        <w:t xml:space="preserve">τ = </w:t>
      </w:r>
      <w:proofErr w:type="spellStart"/>
      <w:r w:rsidRPr="0094103C">
        <w:rPr>
          <w:color w:val="000000"/>
        </w:rPr>
        <w:t>ln</w:t>
      </w:r>
      <w:proofErr w:type="spellEnd"/>
      <w:r w:rsidRPr="0094103C">
        <w:rPr>
          <w:color w:val="000000"/>
        </w:rPr>
        <w:t xml:space="preserve"> (</w:t>
      </w:r>
      <w:r>
        <w:rPr>
          <w:color w:val="000000"/>
        </w:rPr>
        <w:t>S</w:t>
      </w:r>
      <w:r>
        <w:rPr>
          <w:color w:val="000000"/>
          <w:vertAlign w:val="subscript"/>
        </w:rPr>
        <w:t>U</w:t>
      </w:r>
      <w:r>
        <w:rPr>
          <w:color w:val="000000"/>
        </w:rPr>
        <w:t>/S</w:t>
      </w:r>
      <w:r>
        <w:rPr>
          <w:color w:val="000000"/>
          <w:vertAlign w:val="subscript"/>
        </w:rPr>
        <w:t>T</w:t>
      </w:r>
      <w:r>
        <w:rPr>
          <w:color w:val="000000"/>
        </w:rPr>
        <w:t>) and therein lies an error that destroys his paper.</w:t>
      </w:r>
    </w:p>
    <w:p w:rsidR="00BE304D" w:rsidRPr="0094103C" w:rsidRDefault="00BE304D" w:rsidP="00BE304D">
      <w:pPr>
        <w:pStyle w:val="NormalWeb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31510" cy="420411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95" w:rsidRDefault="00932C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2C48">
        <w:rPr>
          <w:rFonts w:ascii="Times New Roman" w:hAnsi="Times New Roman" w:cs="Times New Roman"/>
          <w:sz w:val="24"/>
          <w:szCs w:val="24"/>
        </w:rPr>
        <w:t xml:space="preserve">There’s nothing amiss with the FM mathematics on his slide shown above. The error is to ignore the computed </w:t>
      </w:r>
      <w:r w:rsidRPr="00932C48">
        <w:rPr>
          <w:rFonts w:ascii="Times New Roman" w:hAnsi="Times New Roman" w:cs="Times New Roman"/>
          <w:i/>
          <w:sz w:val="24"/>
          <w:szCs w:val="24"/>
        </w:rPr>
        <w:t>T</w:t>
      </w:r>
      <w:r w:rsidRPr="00932C48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Pr="00932C48">
        <w:rPr>
          <w:rFonts w:ascii="Times New Roman" w:hAnsi="Times New Roman" w:cs="Times New Roman"/>
          <w:sz w:val="24"/>
          <w:szCs w:val="24"/>
        </w:rPr>
        <w:t xml:space="preserve"> and use the </w:t>
      </w:r>
      <w:r w:rsidRPr="00932C4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759A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r w:rsidRPr="00932C48"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="006759A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 w:rsidRPr="00932C48">
        <w:rPr>
          <w:rFonts w:ascii="Times New Roman" w:hAnsi="Times New Roman" w:cs="Times New Roman"/>
          <w:color w:val="000000"/>
          <w:sz w:val="24"/>
          <w:szCs w:val="24"/>
        </w:rPr>
        <w:t xml:space="preserve"> estimate instead.</w:t>
      </w:r>
    </w:p>
    <w:p w:rsidR="008C63F4" w:rsidRDefault="008C63F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Optical density or optical thickness?</w:t>
      </w:r>
      <w:proofErr w:type="gramEnd"/>
    </w:p>
    <w:p w:rsidR="008C63F4" w:rsidRPr="008C63F4" w:rsidRDefault="008C6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two terms are used interchangeably by some authors, but they can be reserved for the property of individual specific frequencies [optical depth] and the integrated values of optical depth over a range of frequencies [optical thickness]. </w:t>
      </w:r>
      <w:r w:rsidR="00E96CCF">
        <w:rPr>
          <w:rFonts w:ascii="Times New Roman" w:hAnsi="Times New Roman" w:cs="Times New Roman"/>
          <w:color w:val="000000"/>
          <w:sz w:val="24"/>
          <w:szCs w:val="24"/>
        </w:rPr>
        <w:t xml:space="preserve">In neither case are the values inclusive </w:t>
      </w:r>
      <w:r w:rsidR="00E96CCF">
        <w:rPr>
          <w:rFonts w:ascii="Times New Roman" w:hAnsi="Times New Roman" w:cs="Times New Roman"/>
          <w:color w:val="000000"/>
          <w:sz w:val="24"/>
          <w:szCs w:val="24"/>
        </w:rPr>
        <w:lastRenderedPageBreak/>
        <w:t>of thermal emission terms. Any calculation</w:t>
      </w:r>
      <w:r w:rsidR="00FE4F8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96CCF">
        <w:rPr>
          <w:rFonts w:ascii="Times New Roman" w:hAnsi="Times New Roman" w:cs="Times New Roman"/>
          <w:color w:val="000000"/>
          <w:sz w:val="24"/>
          <w:szCs w:val="24"/>
        </w:rPr>
        <w:t xml:space="preserve"> using FM’s or K/T’s values for flux densities include the thermal emission terms.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these terms FM’s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τ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values are given by –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96C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="00E96C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96CCF">
        <w:rPr>
          <w:rFonts w:ascii="Times New Roman" w:hAnsi="Times New Roman" w:cs="Times New Roman"/>
          <w:color w:val="000000"/>
          <w:sz w:val="24"/>
          <w:szCs w:val="24"/>
        </w:rPr>
        <w:t xml:space="preserve">= 2.28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are estimates of optical thickness. FM’s calculation of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above slide </w:t>
      </w:r>
      <w:r w:rsidR="00814B97">
        <w:rPr>
          <w:rFonts w:ascii="Times New Roman" w:hAnsi="Times New Roman" w:cs="Times New Roman"/>
          <w:color w:val="000000"/>
          <w:sz w:val="24"/>
          <w:szCs w:val="24"/>
        </w:rPr>
        <w:t xml:space="preserve">extract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includes the optical depths for each frequency in the range, modified by the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term that accounts for thermal emission, all integrated over the frequency range</w:t>
      </w:r>
      <w:r w:rsidR="00E96CCF">
        <w:rPr>
          <w:rFonts w:ascii="Times New Roman" w:hAnsi="Times New Roman" w:cs="Times New Roman"/>
          <w:color w:val="000000"/>
          <w:sz w:val="24"/>
          <w:szCs w:val="24"/>
        </w:rPr>
        <w:t>, the answer not being given.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9A4">
        <w:rPr>
          <w:rFonts w:ascii="Times New Roman" w:hAnsi="Times New Roman" w:cs="Times New Roman"/>
          <w:color w:val="000000"/>
          <w:sz w:val="24"/>
          <w:szCs w:val="24"/>
        </w:rPr>
        <w:t>This is optical thickness offset by thermal emission</w:t>
      </w:r>
      <w:r w:rsidR="00E96CC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759A4">
        <w:rPr>
          <w:rFonts w:ascii="Times New Roman" w:hAnsi="Times New Roman" w:cs="Times New Roman"/>
          <w:color w:val="000000"/>
          <w:sz w:val="24"/>
          <w:szCs w:val="24"/>
        </w:rPr>
        <w:t xml:space="preserve"> and in FM’s terms, using the K/T values would be given by </w:t>
      </w:r>
      <w:proofErr w:type="spellStart"/>
      <w:r w:rsidR="0068363F">
        <w:rPr>
          <w:rFonts w:ascii="Times New Roman" w:hAnsi="Times New Roman" w:cs="Times New Roman"/>
          <w:color w:val="000000"/>
          <w:sz w:val="24"/>
          <w:szCs w:val="24"/>
        </w:rPr>
        <w:t>ln</w:t>
      </w:r>
      <w:proofErr w:type="spellEnd"/>
      <w:r w:rsidR="0068363F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6759A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686A">
        <w:rPr>
          <w:rFonts w:ascii="Times New Roman" w:hAnsi="Times New Roman" w:cs="Times New Roman"/>
          <w:color w:val="000000"/>
          <w:sz w:val="24"/>
          <w:szCs w:val="24"/>
        </w:rPr>
        <w:t>90/23</w:t>
      </w:r>
      <w:r w:rsidR="006759A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8363F">
        <w:rPr>
          <w:rFonts w:ascii="Times New Roman" w:hAnsi="Times New Roman" w:cs="Times New Roman"/>
          <w:color w:val="000000"/>
          <w:sz w:val="24"/>
          <w:szCs w:val="24"/>
        </w:rPr>
        <w:t>] l</w:t>
      </w:r>
      <w:r w:rsidR="006759A4">
        <w:rPr>
          <w:rFonts w:ascii="Times New Roman" w:hAnsi="Times New Roman" w:cs="Times New Roman"/>
          <w:color w:val="000000"/>
          <w:sz w:val="24"/>
          <w:szCs w:val="24"/>
        </w:rPr>
        <w:t>eading to an overall optical thickness of 0.5</w:t>
      </w:r>
      <w:r w:rsidR="001168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759A4">
        <w:rPr>
          <w:rFonts w:ascii="Times New Roman" w:hAnsi="Times New Roman" w:cs="Times New Roman"/>
          <w:color w:val="000000"/>
          <w:sz w:val="24"/>
          <w:szCs w:val="24"/>
        </w:rPr>
        <w:t>, very close to the mean produced by MODTRAN.</w:t>
      </w:r>
    </w:p>
    <w:sectPr w:rsidR="008C63F4" w:rsidRPr="008C63F4" w:rsidSect="00595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B97"/>
    <w:multiLevelType w:val="hybridMultilevel"/>
    <w:tmpl w:val="416AD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3D65"/>
    <w:rsid w:val="00003D35"/>
    <w:rsid w:val="00007977"/>
    <w:rsid w:val="00011CE5"/>
    <w:rsid w:val="00012D13"/>
    <w:rsid w:val="00027BD6"/>
    <w:rsid w:val="00027C2D"/>
    <w:rsid w:val="0003437C"/>
    <w:rsid w:val="000350FE"/>
    <w:rsid w:val="0004096D"/>
    <w:rsid w:val="0004098B"/>
    <w:rsid w:val="0004172A"/>
    <w:rsid w:val="00041F63"/>
    <w:rsid w:val="00043156"/>
    <w:rsid w:val="00044D80"/>
    <w:rsid w:val="00050459"/>
    <w:rsid w:val="00050F7C"/>
    <w:rsid w:val="0005540B"/>
    <w:rsid w:val="00057726"/>
    <w:rsid w:val="00057F98"/>
    <w:rsid w:val="00062E62"/>
    <w:rsid w:val="00071953"/>
    <w:rsid w:val="00081C57"/>
    <w:rsid w:val="00082E37"/>
    <w:rsid w:val="00084ADB"/>
    <w:rsid w:val="0008605B"/>
    <w:rsid w:val="00092A66"/>
    <w:rsid w:val="0009333C"/>
    <w:rsid w:val="0009417D"/>
    <w:rsid w:val="0009430E"/>
    <w:rsid w:val="000956E8"/>
    <w:rsid w:val="000A3950"/>
    <w:rsid w:val="000B1794"/>
    <w:rsid w:val="000B5610"/>
    <w:rsid w:val="000B7E61"/>
    <w:rsid w:val="000C1D06"/>
    <w:rsid w:val="000C3F10"/>
    <w:rsid w:val="000C60B3"/>
    <w:rsid w:val="000C7800"/>
    <w:rsid w:val="000D0376"/>
    <w:rsid w:val="000D09B9"/>
    <w:rsid w:val="000D1DF9"/>
    <w:rsid w:val="000E0B59"/>
    <w:rsid w:val="000E2BA5"/>
    <w:rsid w:val="000E328F"/>
    <w:rsid w:val="000E462F"/>
    <w:rsid w:val="000E623A"/>
    <w:rsid w:val="000E7539"/>
    <w:rsid w:val="000F23C4"/>
    <w:rsid w:val="000F3652"/>
    <w:rsid w:val="000F4BFA"/>
    <w:rsid w:val="00103D39"/>
    <w:rsid w:val="00104BF5"/>
    <w:rsid w:val="0010713E"/>
    <w:rsid w:val="00107CD8"/>
    <w:rsid w:val="00110E7F"/>
    <w:rsid w:val="00115F80"/>
    <w:rsid w:val="0011686A"/>
    <w:rsid w:val="00125870"/>
    <w:rsid w:val="00126DBA"/>
    <w:rsid w:val="00132A6E"/>
    <w:rsid w:val="00137950"/>
    <w:rsid w:val="00141D21"/>
    <w:rsid w:val="0014387E"/>
    <w:rsid w:val="00143F0C"/>
    <w:rsid w:val="00150FD3"/>
    <w:rsid w:val="00155625"/>
    <w:rsid w:val="00162673"/>
    <w:rsid w:val="00162F6B"/>
    <w:rsid w:val="0016457D"/>
    <w:rsid w:val="00176CB8"/>
    <w:rsid w:val="0017781C"/>
    <w:rsid w:val="001818FE"/>
    <w:rsid w:val="00192E49"/>
    <w:rsid w:val="0019403E"/>
    <w:rsid w:val="001942EE"/>
    <w:rsid w:val="00194B98"/>
    <w:rsid w:val="001A1437"/>
    <w:rsid w:val="001B232A"/>
    <w:rsid w:val="001B427B"/>
    <w:rsid w:val="001C7B05"/>
    <w:rsid w:val="001D5AA6"/>
    <w:rsid w:val="001D6776"/>
    <w:rsid w:val="001D7330"/>
    <w:rsid w:val="001D7F5D"/>
    <w:rsid w:val="001E020E"/>
    <w:rsid w:val="001E2717"/>
    <w:rsid w:val="001E293E"/>
    <w:rsid w:val="001E34DA"/>
    <w:rsid w:val="001E5CD7"/>
    <w:rsid w:val="001F0C83"/>
    <w:rsid w:val="002008ED"/>
    <w:rsid w:val="0020344B"/>
    <w:rsid w:val="002061B4"/>
    <w:rsid w:val="00206D61"/>
    <w:rsid w:val="002072BB"/>
    <w:rsid w:val="00207829"/>
    <w:rsid w:val="00212AA1"/>
    <w:rsid w:val="00217C74"/>
    <w:rsid w:val="002259B6"/>
    <w:rsid w:val="002263E2"/>
    <w:rsid w:val="00231923"/>
    <w:rsid w:val="0023491A"/>
    <w:rsid w:val="00236941"/>
    <w:rsid w:val="00246F34"/>
    <w:rsid w:val="002526FA"/>
    <w:rsid w:val="00257B5A"/>
    <w:rsid w:val="00261CC3"/>
    <w:rsid w:val="0026690A"/>
    <w:rsid w:val="00266E28"/>
    <w:rsid w:val="00270C5D"/>
    <w:rsid w:val="00270EF8"/>
    <w:rsid w:val="00274A68"/>
    <w:rsid w:val="00277419"/>
    <w:rsid w:val="00277986"/>
    <w:rsid w:val="002867C5"/>
    <w:rsid w:val="00290E73"/>
    <w:rsid w:val="002920F1"/>
    <w:rsid w:val="00295094"/>
    <w:rsid w:val="002974C7"/>
    <w:rsid w:val="002A158C"/>
    <w:rsid w:val="002A1A5A"/>
    <w:rsid w:val="002A26DE"/>
    <w:rsid w:val="002A2A69"/>
    <w:rsid w:val="002A506D"/>
    <w:rsid w:val="002A774C"/>
    <w:rsid w:val="002A7B75"/>
    <w:rsid w:val="002B208E"/>
    <w:rsid w:val="002B2598"/>
    <w:rsid w:val="002B57D6"/>
    <w:rsid w:val="002C2C96"/>
    <w:rsid w:val="002C6196"/>
    <w:rsid w:val="002C7EB8"/>
    <w:rsid w:val="002D26FB"/>
    <w:rsid w:val="002D3B94"/>
    <w:rsid w:val="002D4B2A"/>
    <w:rsid w:val="002D56E7"/>
    <w:rsid w:val="002E4C6C"/>
    <w:rsid w:val="002F1805"/>
    <w:rsid w:val="002F4228"/>
    <w:rsid w:val="002F61D4"/>
    <w:rsid w:val="002F63F8"/>
    <w:rsid w:val="002F72F8"/>
    <w:rsid w:val="002F7A19"/>
    <w:rsid w:val="0030169D"/>
    <w:rsid w:val="003027DD"/>
    <w:rsid w:val="0030620E"/>
    <w:rsid w:val="00306253"/>
    <w:rsid w:val="00306BFA"/>
    <w:rsid w:val="0030723C"/>
    <w:rsid w:val="003105FF"/>
    <w:rsid w:val="00311125"/>
    <w:rsid w:val="00312A38"/>
    <w:rsid w:val="00315695"/>
    <w:rsid w:val="00316190"/>
    <w:rsid w:val="0031644A"/>
    <w:rsid w:val="00320B57"/>
    <w:rsid w:val="003231F6"/>
    <w:rsid w:val="0032537B"/>
    <w:rsid w:val="00325C65"/>
    <w:rsid w:val="00331F08"/>
    <w:rsid w:val="00336177"/>
    <w:rsid w:val="00336E0C"/>
    <w:rsid w:val="003375BE"/>
    <w:rsid w:val="003446A7"/>
    <w:rsid w:val="00346721"/>
    <w:rsid w:val="003502E6"/>
    <w:rsid w:val="00350585"/>
    <w:rsid w:val="00355C51"/>
    <w:rsid w:val="00356747"/>
    <w:rsid w:val="00361D1F"/>
    <w:rsid w:val="00365D9B"/>
    <w:rsid w:val="0036694C"/>
    <w:rsid w:val="003676A0"/>
    <w:rsid w:val="003720D3"/>
    <w:rsid w:val="0037337E"/>
    <w:rsid w:val="00373721"/>
    <w:rsid w:val="003808B1"/>
    <w:rsid w:val="003809D4"/>
    <w:rsid w:val="00381B58"/>
    <w:rsid w:val="003847F7"/>
    <w:rsid w:val="003911B8"/>
    <w:rsid w:val="00391D87"/>
    <w:rsid w:val="00392899"/>
    <w:rsid w:val="00395E27"/>
    <w:rsid w:val="003A0648"/>
    <w:rsid w:val="003A36AC"/>
    <w:rsid w:val="003A583A"/>
    <w:rsid w:val="003B2FC3"/>
    <w:rsid w:val="003B358F"/>
    <w:rsid w:val="003B4478"/>
    <w:rsid w:val="003C3EDC"/>
    <w:rsid w:val="003C6789"/>
    <w:rsid w:val="003D1C27"/>
    <w:rsid w:val="003D4875"/>
    <w:rsid w:val="003D68B2"/>
    <w:rsid w:val="003D7838"/>
    <w:rsid w:val="003E1F7C"/>
    <w:rsid w:val="003E2098"/>
    <w:rsid w:val="003E2501"/>
    <w:rsid w:val="003F3822"/>
    <w:rsid w:val="003F56B2"/>
    <w:rsid w:val="00402278"/>
    <w:rsid w:val="004077AA"/>
    <w:rsid w:val="00412BCE"/>
    <w:rsid w:val="00413601"/>
    <w:rsid w:val="004148DF"/>
    <w:rsid w:val="00425159"/>
    <w:rsid w:val="0043121B"/>
    <w:rsid w:val="00434E8F"/>
    <w:rsid w:val="00437529"/>
    <w:rsid w:val="00440323"/>
    <w:rsid w:val="004418DD"/>
    <w:rsid w:val="0044229D"/>
    <w:rsid w:val="0044499D"/>
    <w:rsid w:val="0045034A"/>
    <w:rsid w:val="0045287E"/>
    <w:rsid w:val="004529FC"/>
    <w:rsid w:val="00467F30"/>
    <w:rsid w:val="00473C1C"/>
    <w:rsid w:val="00476B2B"/>
    <w:rsid w:val="0047785E"/>
    <w:rsid w:val="00481442"/>
    <w:rsid w:val="00484832"/>
    <w:rsid w:val="00485247"/>
    <w:rsid w:val="00491A76"/>
    <w:rsid w:val="00492589"/>
    <w:rsid w:val="004968E7"/>
    <w:rsid w:val="00496DEC"/>
    <w:rsid w:val="004A1274"/>
    <w:rsid w:val="004A15FD"/>
    <w:rsid w:val="004A2364"/>
    <w:rsid w:val="004A2A21"/>
    <w:rsid w:val="004B0E6B"/>
    <w:rsid w:val="004B6996"/>
    <w:rsid w:val="004C5ACC"/>
    <w:rsid w:val="004D7CA0"/>
    <w:rsid w:val="004E15D0"/>
    <w:rsid w:val="004E4CB8"/>
    <w:rsid w:val="004E7FAD"/>
    <w:rsid w:val="004F0D75"/>
    <w:rsid w:val="004F1D37"/>
    <w:rsid w:val="004F2162"/>
    <w:rsid w:val="004F3236"/>
    <w:rsid w:val="004F48AB"/>
    <w:rsid w:val="004F4B29"/>
    <w:rsid w:val="004F4E20"/>
    <w:rsid w:val="005015BF"/>
    <w:rsid w:val="005042EB"/>
    <w:rsid w:val="0050654B"/>
    <w:rsid w:val="00514053"/>
    <w:rsid w:val="00521266"/>
    <w:rsid w:val="00526A64"/>
    <w:rsid w:val="00536BBC"/>
    <w:rsid w:val="00542350"/>
    <w:rsid w:val="005427D2"/>
    <w:rsid w:val="00545F6E"/>
    <w:rsid w:val="00546FC6"/>
    <w:rsid w:val="005471DF"/>
    <w:rsid w:val="005478B5"/>
    <w:rsid w:val="0055111C"/>
    <w:rsid w:val="005517E3"/>
    <w:rsid w:val="00552277"/>
    <w:rsid w:val="00557348"/>
    <w:rsid w:val="00560FC1"/>
    <w:rsid w:val="00563B78"/>
    <w:rsid w:val="00567BE9"/>
    <w:rsid w:val="00571B5A"/>
    <w:rsid w:val="00576C91"/>
    <w:rsid w:val="00580660"/>
    <w:rsid w:val="00585FD6"/>
    <w:rsid w:val="005902A4"/>
    <w:rsid w:val="00590760"/>
    <w:rsid w:val="00590E0E"/>
    <w:rsid w:val="00590E7D"/>
    <w:rsid w:val="00594473"/>
    <w:rsid w:val="00595095"/>
    <w:rsid w:val="005966D9"/>
    <w:rsid w:val="005A0F8E"/>
    <w:rsid w:val="005A2CF7"/>
    <w:rsid w:val="005A5EAE"/>
    <w:rsid w:val="005B01FA"/>
    <w:rsid w:val="005B0BFD"/>
    <w:rsid w:val="005B2CEC"/>
    <w:rsid w:val="005B63BF"/>
    <w:rsid w:val="005B6841"/>
    <w:rsid w:val="005C251F"/>
    <w:rsid w:val="005D061A"/>
    <w:rsid w:val="005D37EF"/>
    <w:rsid w:val="005D5AB5"/>
    <w:rsid w:val="005E242E"/>
    <w:rsid w:val="005E31EF"/>
    <w:rsid w:val="005E59E7"/>
    <w:rsid w:val="005F071C"/>
    <w:rsid w:val="005F0798"/>
    <w:rsid w:val="005F407B"/>
    <w:rsid w:val="005F7327"/>
    <w:rsid w:val="005F7C3F"/>
    <w:rsid w:val="00606383"/>
    <w:rsid w:val="00606873"/>
    <w:rsid w:val="00612A66"/>
    <w:rsid w:val="006163EB"/>
    <w:rsid w:val="006219A2"/>
    <w:rsid w:val="0062383F"/>
    <w:rsid w:val="006271C7"/>
    <w:rsid w:val="00632695"/>
    <w:rsid w:val="006331DC"/>
    <w:rsid w:val="00633ABA"/>
    <w:rsid w:val="00633F13"/>
    <w:rsid w:val="00637D78"/>
    <w:rsid w:val="006403CB"/>
    <w:rsid w:val="00640952"/>
    <w:rsid w:val="00641123"/>
    <w:rsid w:val="006415A3"/>
    <w:rsid w:val="006421A7"/>
    <w:rsid w:val="006540F1"/>
    <w:rsid w:val="006657A0"/>
    <w:rsid w:val="0067361E"/>
    <w:rsid w:val="006755E8"/>
    <w:rsid w:val="006759A4"/>
    <w:rsid w:val="00682CBF"/>
    <w:rsid w:val="0068330C"/>
    <w:rsid w:val="0068363F"/>
    <w:rsid w:val="0068444F"/>
    <w:rsid w:val="0068469C"/>
    <w:rsid w:val="00687EB3"/>
    <w:rsid w:val="00694693"/>
    <w:rsid w:val="006966AE"/>
    <w:rsid w:val="00696DC8"/>
    <w:rsid w:val="006A21E4"/>
    <w:rsid w:val="006A3CF4"/>
    <w:rsid w:val="006A5BE5"/>
    <w:rsid w:val="006A6CF1"/>
    <w:rsid w:val="006B2204"/>
    <w:rsid w:val="006B31E7"/>
    <w:rsid w:val="006B4381"/>
    <w:rsid w:val="006B43BA"/>
    <w:rsid w:val="006B49D1"/>
    <w:rsid w:val="006B5573"/>
    <w:rsid w:val="006B7904"/>
    <w:rsid w:val="006C0B86"/>
    <w:rsid w:val="006C0C31"/>
    <w:rsid w:val="006C3C83"/>
    <w:rsid w:val="006C7354"/>
    <w:rsid w:val="006D5989"/>
    <w:rsid w:val="006D5B4C"/>
    <w:rsid w:val="006E1EC5"/>
    <w:rsid w:val="006E2F6A"/>
    <w:rsid w:val="006E380C"/>
    <w:rsid w:val="006E4F04"/>
    <w:rsid w:val="006E7985"/>
    <w:rsid w:val="006E7FAE"/>
    <w:rsid w:val="006F1CDB"/>
    <w:rsid w:val="006F2B18"/>
    <w:rsid w:val="006F418F"/>
    <w:rsid w:val="006F6435"/>
    <w:rsid w:val="00703DAD"/>
    <w:rsid w:val="00704765"/>
    <w:rsid w:val="00714010"/>
    <w:rsid w:val="00714FE4"/>
    <w:rsid w:val="00715FB4"/>
    <w:rsid w:val="00722E52"/>
    <w:rsid w:val="00730F52"/>
    <w:rsid w:val="00736505"/>
    <w:rsid w:val="00740C11"/>
    <w:rsid w:val="00743878"/>
    <w:rsid w:val="00750452"/>
    <w:rsid w:val="00751712"/>
    <w:rsid w:val="0075250D"/>
    <w:rsid w:val="00754F18"/>
    <w:rsid w:val="00756FDD"/>
    <w:rsid w:val="00757654"/>
    <w:rsid w:val="00762A76"/>
    <w:rsid w:val="00765D70"/>
    <w:rsid w:val="007715E2"/>
    <w:rsid w:val="00773189"/>
    <w:rsid w:val="00784489"/>
    <w:rsid w:val="007856D5"/>
    <w:rsid w:val="0079425E"/>
    <w:rsid w:val="007A4E4B"/>
    <w:rsid w:val="007A5313"/>
    <w:rsid w:val="007B3A23"/>
    <w:rsid w:val="007B627A"/>
    <w:rsid w:val="007C5A28"/>
    <w:rsid w:val="007D1A6D"/>
    <w:rsid w:val="007D3ABD"/>
    <w:rsid w:val="007E57C5"/>
    <w:rsid w:val="007F50A7"/>
    <w:rsid w:val="007F7404"/>
    <w:rsid w:val="00800E3F"/>
    <w:rsid w:val="00803706"/>
    <w:rsid w:val="00803FAB"/>
    <w:rsid w:val="008049F9"/>
    <w:rsid w:val="00807A9D"/>
    <w:rsid w:val="008102A8"/>
    <w:rsid w:val="008129C5"/>
    <w:rsid w:val="008137EA"/>
    <w:rsid w:val="008141F0"/>
    <w:rsid w:val="00814B97"/>
    <w:rsid w:val="00817E0D"/>
    <w:rsid w:val="0082581B"/>
    <w:rsid w:val="00830677"/>
    <w:rsid w:val="00835C4F"/>
    <w:rsid w:val="00837058"/>
    <w:rsid w:val="00841191"/>
    <w:rsid w:val="008449EC"/>
    <w:rsid w:val="00846AA0"/>
    <w:rsid w:val="008470E7"/>
    <w:rsid w:val="0085648C"/>
    <w:rsid w:val="008645E1"/>
    <w:rsid w:val="008646FE"/>
    <w:rsid w:val="00870419"/>
    <w:rsid w:val="00873820"/>
    <w:rsid w:val="00880076"/>
    <w:rsid w:val="00880595"/>
    <w:rsid w:val="00885048"/>
    <w:rsid w:val="0088609F"/>
    <w:rsid w:val="0089148D"/>
    <w:rsid w:val="008917E3"/>
    <w:rsid w:val="00894B39"/>
    <w:rsid w:val="008A15CF"/>
    <w:rsid w:val="008A2B57"/>
    <w:rsid w:val="008A37B5"/>
    <w:rsid w:val="008A5D52"/>
    <w:rsid w:val="008B1D06"/>
    <w:rsid w:val="008B274D"/>
    <w:rsid w:val="008C057A"/>
    <w:rsid w:val="008C0C6D"/>
    <w:rsid w:val="008C18F8"/>
    <w:rsid w:val="008C3E64"/>
    <w:rsid w:val="008C3E83"/>
    <w:rsid w:val="008C58AE"/>
    <w:rsid w:val="008C63F4"/>
    <w:rsid w:val="008C6CC1"/>
    <w:rsid w:val="008C75E8"/>
    <w:rsid w:val="008D780E"/>
    <w:rsid w:val="008E0846"/>
    <w:rsid w:val="008E0A1A"/>
    <w:rsid w:val="008E4B98"/>
    <w:rsid w:val="008F0329"/>
    <w:rsid w:val="008F3E7B"/>
    <w:rsid w:val="008F45CA"/>
    <w:rsid w:val="008F4BDD"/>
    <w:rsid w:val="00901FD1"/>
    <w:rsid w:val="0090604E"/>
    <w:rsid w:val="00910162"/>
    <w:rsid w:val="00915D5D"/>
    <w:rsid w:val="00916504"/>
    <w:rsid w:val="009278A6"/>
    <w:rsid w:val="00932C48"/>
    <w:rsid w:val="009337ED"/>
    <w:rsid w:val="00933D65"/>
    <w:rsid w:val="0093403F"/>
    <w:rsid w:val="009370C9"/>
    <w:rsid w:val="00940F90"/>
    <w:rsid w:val="0095246E"/>
    <w:rsid w:val="009529FD"/>
    <w:rsid w:val="00954D00"/>
    <w:rsid w:val="009608F5"/>
    <w:rsid w:val="00964C5A"/>
    <w:rsid w:val="00964E03"/>
    <w:rsid w:val="00967016"/>
    <w:rsid w:val="009710A9"/>
    <w:rsid w:val="00977B44"/>
    <w:rsid w:val="00982A71"/>
    <w:rsid w:val="0098559C"/>
    <w:rsid w:val="00985675"/>
    <w:rsid w:val="0099272B"/>
    <w:rsid w:val="00992AAE"/>
    <w:rsid w:val="00995045"/>
    <w:rsid w:val="0099688B"/>
    <w:rsid w:val="00996A05"/>
    <w:rsid w:val="009A0CA9"/>
    <w:rsid w:val="009A38A9"/>
    <w:rsid w:val="009A39EF"/>
    <w:rsid w:val="009A4106"/>
    <w:rsid w:val="009A4AA4"/>
    <w:rsid w:val="009A5C6C"/>
    <w:rsid w:val="009A614D"/>
    <w:rsid w:val="009A659E"/>
    <w:rsid w:val="009B285C"/>
    <w:rsid w:val="009C224E"/>
    <w:rsid w:val="009C62ED"/>
    <w:rsid w:val="009D276D"/>
    <w:rsid w:val="009D32D2"/>
    <w:rsid w:val="009D3C7B"/>
    <w:rsid w:val="009E5412"/>
    <w:rsid w:val="009E600E"/>
    <w:rsid w:val="009F556C"/>
    <w:rsid w:val="009F6017"/>
    <w:rsid w:val="009F6709"/>
    <w:rsid w:val="00A00CB3"/>
    <w:rsid w:val="00A07940"/>
    <w:rsid w:val="00A10B80"/>
    <w:rsid w:val="00A1581C"/>
    <w:rsid w:val="00A2515C"/>
    <w:rsid w:val="00A27252"/>
    <w:rsid w:val="00A302EA"/>
    <w:rsid w:val="00A3233E"/>
    <w:rsid w:val="00A32594"/>
    <w:rsid w:val="00A347BA"/>
    <w:rsid w:val="00A462D2"/>
    <w:rsid w:val="00A55533"/>
    <w:rsid w:val="00A60074"/>
    <w:rsid w:val="00A612C7"/>
    <w:rsid w:val="00A62D41"/>
    <w:rsid w:val="00A70008"/>
    <w:rsid w:val="00A72925"/>
    <w:rsid w:val="00A818BC"/>
    <w:rsid w:val="00A83134"/>
    <w:rsid w:val="00A85B76"/>
    <w:rsid w:val="00A8787A"/>
    <w:rsid w:val="00A91381"/>
    <w:rsid w:val="00A916CB"/>
    <w:rsid w:val="00A91DD7"/>
    <w:rsid w:val="00A959F0"/>
    <w:rsid w:val="00AA3A68"/>
    <w:rsid w:val="00AA45C2"/>
    <w:rsid w:val="00AB5970"/>
    <w:rsid w:val="00AC4EB5"/>
    <w:rsid w:val="00AD1BEB"/>
    <w:rsid w:val="00AD57FF"/>
    <w:rsid w:val="00AE60D3"/>
    <w:rsid w:val="00AF052F"/>
    <w:rsid w:val="00AF0FA5"/>
    <w:rsid w:val="00AF2662"/>
    <w:rsid w:val="00AF5306"/>
    <w:rsid w:val="00AF6BCF"/>
    <w:rsid w:val="00B01E0A"/>
    <w:rsid w:val="00B0369F"/>
    <w:rsid w:val="00B04D85"/>
    <w:rsid w:val="00B10CC2"/>
    <w:rsid w:val="00B122C9"/>
    <w:rsid w:val="00B15619"/>
    <w:rsid w:val="00B1776E"/>
    <w:rsid w:val="00B260D6"/>
    <w:rsid w:val="00B358A0"/>
    <w:rsid w:val="00B3765F"/>
    <w:rsid w:val="00B377AD"/>
    <w:rsid w:val="00B41BE2"/>
    <w:rsid w:val="00B42EA4"/>
    <w:rsid w:val="00B53751"/>
    <w:rsid w:val="00B62E94"/>
    <w:rsid w:val="00B661DA"/>
    <w:rsid w:val="00B67BFA"/>
    <w:rsid w:val="00B726B0"/>
    <w:rsid w:val="00B73267"/>
    <w:rsid w:val="00B85B1C"/>
    <w:rsid w:val="00B95927"/>
    <w:rsid w:val="00B959D2"/>
    <w:rsid w:val="00B960D2"/>
    <w:rsid w:val="00BA02B7"/>
    <w:rsid w:val="00BA0482"/>
    <w:rsid w:val="00BA2471"/>
    <w:rsid w:val="00BB14D3"/>
    <w:rsid w:val="00BB1786"/>
    <w:rsid w:val="00BB1DC3"/>
    <w:rsid w:val="00BB20B9"/>
    <w:rsid w:val="00BB43F7"/>
    <w:rsid w:val="00BB67E1"/>
    <w:rsid w:val="00BB7E2D"/>
    <w:rsid w:val="00BC77A4"/>
    <w:rsid w:val="00BD05DE"/>
    <w:rsid w:val="00BD091E"/>
    <w:rsid w:val="00BD206B"/>
    <w:rsid w:val="00BD4149"/>
    <w:rsid w:val="00BD5C53"/>
    <w:rsid w:val="00BD7DEC"/>
    <w:rsid w:val="00BE010D"/>
    <w:rsid w:val="00BE1CEA"/>
    <w:rsid w:val="00BE202F"/>
    <w:rsid w:val="00BE304D"/>
    <w:rsid w:val="00BE3262"/>
    <w:rsid w:val="00BE426F"/>
    <w:rsid w:val="00BE7F38"/>
    <w:rsid w:val="00BF076D"/>
    <w:rsid w:val="00BF2B5E"/>
    <w:rsid w:val="00C02009"/>
    <w:rsid w:val="00C12271"/>
    <w:rsid w:val="00C17E42"/>
    <w:rsid w:val="00C3339A"/>
    <w:rsid w:val="00C33CBA"/>
    <w:rsid w:val="00C36DE7"/>
    <w:rsid w:val="00C40A46"/>
    <w:rsid w:val="00C41675"/>
    <w:rsid w:val="00C42AC4"/>
    <w:rsid w:val="00C4483A"/>
    <w:rsid w:val="00C47C65"/>
    <w:rsid w:val="00C50FB9"/>
    <w:rsid w:val="00C52044"/>
    <w:rsid w:val="00C52E65"/>
    <w:rsid w:val="00C540FC"/>
    <w:rsid w:val="00C55451"/>
    <w:rsid w:val="00C61714"/>
    <w:rsid w:val="00C62755"/>
    <w:rsid w:val="00C65400"/>
    <w:rsid w:val="00C6546E"/>
    <w:rsid w:val="00C65A77"/>
    <w:rsid w:val="00C710DE"/>
    <w:rsid w:val="00C76645"/>
    <w:rsid w:val="00C80D5B"/>
    <w:rsid w:val="00C830EC"/>
    <w:rsid w:val="00C848CA"/>
    <w:rsid w:val="00C87326"/>
    <w:rsid w:val="00C93603"/>
    <w:rsid w:val="00C9363F"/>
    <w:rsid w:val="00C94BCB"/>
    <w:rsid w:val="00C952B4"/>
    <w:rsid w:val="00C974D6"/>
    <w:rsid w:val="00CA3BC4"/>
    <w:rsid w:val="00CA5274"/>
    <w:rsid w:val="00CC071C"/>
    <w:rsid w:val="00CC5B50"/>
    <w:rsid w:val="00CD07C6"/>
    <w:rsid w:val="00CD15A8"/>
    <w:rsid w:val="00CD2F9A"/>
    <w:rsid w:val="00CD3C18"/>
    <w:rsid w:val="00CD5976"/>
    <w:rsid w:val="00CF08AD"/>
    <w:rsid w:val="00CF1F12"/>
    <w:rsid w:val="00D0295E"/>
    <w:rsid w:val="00D03296"/>
    <w:rsid w:val="00D0437C"/>
    <w:rsid w:val="00D050C6"/>
    <w:rsid w:val="00D077D8"/>
    <w:rsid w:val="00D2602A"/>
    <w:rsid w:val="00D2694F"/>
    <w:rsid w:val="00D30C18"/>
    <w:rsid w:val="00D313AE"/>
    <w:rsid w:val="00D37CE5"/>
    <w:rsid w:val="00D402B4"/>
    <w:rsid w:val="00D421D7"/>
    <w:rsid w:val="00D4349B"/>
    <w:rsid w:val="00D469A0"/>
    <w:rsid w:val="00D50B88"/>
    <w:rsid w:val="00D53292"/>
    <w:rsid w:val="00D56180"/>
    <w:rsid w:val="00D60B4D"/>
    <w:rsid w:val="00D62DDC"/>
    <w:rsid w:val="00D65850"/>
    <w:rsid w:val="00D747D3"/>
    <w:rsid w:val="00D84996"/>
    <w:rsid w:val="00D862ED"/>
    <w:rsid w:val="00D87595"/>
    <w:rsid w:val="00D9097B"/>
    <w:rsid w:val="00D9597C"/>
    <w:rsid w:val="00D96FF0"/>
    <w:rsid w:val="00DA08F4"/>
    <w:rsid w:val="00DA312F"/>
    <w:rsid w:val="00DB6CEE"/>
    <w:rsid w:val="00DB77A2"/>
    <w:rsid w:val="00DC1358"/>
    <w:rsid w:val="00DC4B19"/>
    <w:rsid w:val="00DC4C8D"/>
    <w:rsid w:val="00DC7565"/>
    <w:rsid w:val="00DD0318"/>
    <w:rsid w:val="00DD0804"/>
    <w:rsid w:val="00DD3533"/>
    <w:rsid w:val="00DD676D"/>
    <w:rsid w:val="00DD69DF"/>
    <w:rsid w:val="00DD6FCF"/>
    <w:rsid w:val="00DE4053"/>
    <w:rsid w:val="00DE4629"/>
    <w:rsid w:val="00DE6880"/>
    <w:rsid w:val="00DE6EC6"/>
    <w:rsid w:val="00DF0BA2"/>
    <w:rsid w:val="00DF6676"/>
    <w:rsid w:val="00DF749B"/>
    <w:rsid w:val="00E0331E"/>
    <w:rsid w:val="00E04200"/>
    <w:rsid w:val="00E1186F"/>
    <w:rsid w:val="00E22322"/>
    <w:rsid w:val="00E4478E"/>
    <w:rsid w:val="00E50B6C"/>
    <w:rsid w:val="00E510FC"/>
    <w:rsid w:val="00E56F11"/>
    <w:rsid w:val="00E57AB0"/>
    <w:rsid w:val="00E606EB"/>
    <w:rsid w:val="00E64084"/>
    <w:rsid w:val="00E650C4"/>
    <w:rsid w:val="00E72E03"/>
    <w:rsid w:val="00E77BF6"/>
    <w:rsid w:val="00E801AB"/>
    <w:rsid w:val="00E80202"/>
    <w:rsid w:val="00E84CFD"/>
    <w:rsid w:val="00E863AB"/>
    <w:rsid w:val="00E96CCF"/>
    <w:rsid w:val="00EB1B26"/>
    <w:rsid w:val="00EB443A"/>
    <w:rsid w:val="00EB4919"/>
    <w:rsid w:val="00EC0EEF"/>
    <w:rsid w:val="00EC126C"/>
    <w:rsid w:val="00EC3CEE"/>
    <w:rsid w:val="00EC75DC"/>
    <w:rsid w:val="00EC7BF8"/>
    <w:rsid w:val="00ED12F6"/>
    <w:rsid w:val="00ED178F"/>
    <w:rsid w:val="00EE158A"/>
    <w:rsid w:val="00EE3BB4"/>
    <w:rsid w:val="00EE63A7"/>
    <w:rsid w:val="00EE6EE1"/>
    <w:rsid w:val="00EF016D"/>
    <w:rsid w:val="00EF1566"/>
    <w:rsid w:val="00EF63B1"/>
    <w:rsid w:val="00EF6C06"/>
    <w:rsid w:val="00F03816"/>
    <w:rsid w:val="00F2022A"/>
    <w:rsid w:val="00F2296C"/>
    <w:rsid w:val="00F25CAC"/>
    <w:rsid w:val="00F35BF3"/>
    <w:rsid w:val="00F43694"/>
    <w:rsid w:val="00F60728"/>
    <w:rsid w:val="00F62531"/>
    <w:rsid w:val="00F65230"/>
    <w:rsid w:val="00F669C2"/>
    <w:rsid w:val="00F66BDD"/>
    <w:rsid w:val="00F702D1"/>
    <w:rsid w:val="00F7214A"/>
    <w:rsid w:val="00F75144"/>
    <w:rsid w:val="00F751BB"/>
    <w:rsid w:val="00F76914"/>
    <w:rsid w:val="00F81A5D"/>
    <w:rsid w:val="00F822A3"/>
    <w:rsid w:val="00F8565D"/>
    <w:rsid w:val="00F93E4C"/>
    <w:rsid w:val="00F959A9"/>
    <w:rsid w:val="00F962A5"/>
    <w:rsid w:val="00FA0D2D"/>
    <w:rsid w:val="00FA1473"/>
    <w:rsid w:val="00FA5515"/>
    <w:rsid w:val="00FA5A3C"/>
    <w:rsid w:val="00FA774C"/>
    <w:rsid w:val="00FB14B2"/>
    <w:rsid w:val="00FB19A4"/>
    <w:rsid w:val="00FB2CA4"/>
    <w:rsid w:val="00FB5733"/>
    <w:rsid w:val="00FB5FFE"/>
    <w:rsid w:val="00FC003D"/>
    <w:rsid w:val="00FC19DA"/>
    <w:rsid w:val="00FC41FD"/>
    <w:rsid w:val="00FC42E0"/>
    <w:rsid w:val="00FC4396"/>
    <w:rsid w:val="00FC7D49"/>
    <w:rsid w:val="00FD3241"/>
    <w:rsid w:val="00FD3737"/>
    <w:rsid w:val="00FD6148"/>
    <w:rsid w:val="00FE00AE"/>
    <w:rsid w:val="00FE073E"/>
    <w:rsid w:val="00FE187D"/>
    <w:rsid w:val="00FE2C42"/>
    <w:rsid w:val="00FE4F89"/>
    <w:rsid w:val="00FF10D4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D65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1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Barrett</dc:creator>
  <cp:keywords/>
  <dc:description/>
  <cp:lastModifiedBy>Jack Barrett</cp:lastModifiedBy>
  <cp:revision>6</cp:revision>
  <dcterms:created xsi:type="dcterms:W3CDTF">2010-03-13T16:17:00Z</dcterms:created>
  <dcterms:modified xsi:type="dcterms:W3CDTF">2010-03-18T14:17:00Z</dcterms:modified>
</cp:coreProperties>
</file>